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34840">
      <w:pPr>
        <w:pStyle w:val="2"/>
        <w:widowControl/>
        <w:shd w:val="clear" w:color="auto" w:fill="FFFFFF"/>
        <w:spacing w:beforeAutospacing="0" w:afterAutospacing="0" w:line="520" w:lineRule="exact"/>
        <w:jc w:val="center"/>
        <w:rPr>
          <w:rFonts w:hint="default" w:ascii="黑体" w:hAnsi="黑体" w:eastAsia="黑体" w:cs="黑体"/>
          <w:sz w:val="44"/>
          <w:szCs w:val="44"/>
          <w:shd w:val="clear" w:color="auto" w:fill="FFFFFF"/>
        </w:rPr>
      </w:pPr>
    </w:p>
    <w:p w14:paraId="2EC883F7">
      <w:pPr>
        <w:pStyle w:val="2"/>
        <w:widowControl/>
        <w:shd w:val="clear" w:color="auto" w:fill="FFFFFF"/>
        <w:spacing w:beforeAutospacing="0" w:afterAutospacing="0" w:line="520" w:lineRule="exact"/>
        <w:jc w:val="center"/>
        <w:rPr>
          <w:rFonts w:hint="default"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z w:val="44"/>
          <w:szCs w:val="44"/>
          <w:shd w:val="clear" w:color="auto" w:fill="FFFFFF"/>
        </w:rPr>
        <w:t>设备</w:t>
      </w:r>
      <w:r>
        <w:rPr>
          <w:rFonts w:hint="eastAsia" w:ascii="黑体" w:hAnsi="黑体" w:eastAsia="黑体" w:cs="黑体"/>
          <w:sz w:val="44"/>
          <w:szCs w:val="44"/>
          <w:shd w:val="clear" w:color="auto" w:fill="FFFFFF"/>
          <w:lang w:val="en-US" w:eastAsia="zh-CN"/>
        </w:rPr>
        <w:t>设施</w:t>
      </w:r>
      <w:r>
        <w:rPr>
          <w:rFonts w:ascii="黑体" w:hAnsi="黑体" w:eastAsia="黑体" w:cs="黑体"/>
          <w:sz w:val="44"/>
          <w:szCs w:val="44"/>
          <w:shd w:val="clear" w:color="auto" w:fill="FFFFFF"/>
        </w:rPr>
        <w:t>采购</w:t>
      </w:r>
      <w:r>
        <w:rPr>
          <w:rFonts w:hint="eastAsia" w:ascii="黑体" w:hAnsi="黑体" w:eastAsia="黑体" w:cs="黑体"/>
          <w:sz w:val="44"/>
          <w:szCs w:val="44"/>
          <w:shd w:val="clear" w:color="auto" w:fill="FFFFFF"/>
          <w:lang w:val="en-US" w:eastAsia="zh-CN"/>
        </w:rPr>
        <w:t>内部</w:t>
      </w:r>
      <w:bookmarkStart w:id="0" w:name="_GoBack"/>
      <w:bookmarkEnd w:id="0"/>
      <w:r>
        <w:rPr>
          <w:rFonts w:ascii="黑体" w:hAnsi="黑体" w:eastAsia="黑体" w:cs="黑体"/>
          <w:sz w:val="44"/>
          <w:szCs w:val="44"/>
          <w:shd w:val="clear" w:color="auto" w:fill="FFFFFF"/>
        </w:rPr>
        <w:t>招标议标方案</w:t>
      </w:r>
    </w:p>
    <w:p w14:paraId="2A461A83">
      <w:pPr>
        <w:pStyle w:val="3"/>
        <w:widowControl/>
        <w:shd w:val="clear" w:color="auto" w:fill="FFFFFF"/>
        <w:spacing w:beforeAutospacing="0" w:afterAutospacing="0" w:line="520" w:lineRule="exact"/>
        <w:rPr>
          <w:rFonts w:hint="default" w:ascii="仿宋" w:hAnsi="仿宋" w:eastAsia="仿宋" w:cs="仿宋"/>
          <w:sz w:val="30"/>
          <w:szCs w:val="30"/>
          <w:shd w:val="clear" w:color="auto" w:fill="FFFFFF"/>
        </w:rPr>
      </w:pPr>
    </w:p>
    <w:p w14:paraId="46C82E71">
      <w:pPr>
        <w:pStyle w:val="3"/>
        <w:widowControl/>
        <w:shd w:val="clear" w:color="auto" w:fill="FFFFFF"/>
        <w:spacing w:beforeAutospacing="0" w:afterAutospacing="0" w:line="520" w:lineRule="exact"/>
        <w:rPr>
          <w:rFonts w:hint="default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shd w:val="clear" w:color="auto" w:fill="FFFFFF"/>
        </w:rPr>
        <w:t>一、目的和适用范围</w:t>
      </w:r>
    </w:p>
    <w:p w14:paraId="614428B7">
      <w:pPr>
        <w:widowControl/>
        <w:shd w:val="clear" w:color="auto" w:fill="FFFFFF"/>
        <w:spacing w:line="520" w:lineRule="exact"/>
        <w:ind w:firstLine="600" w:firstLineChars="200"/>
        <w:jc w:val="left"/>
        <w:rPr>
          <w:rFonts w:ascii="仿宋" w:hAnsi="仿宋" w:eastAsia="仿宋" w:cs="仿宋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</w:rPr>
        <w:t>为确保采购的设备、设施等符合公司发展要求，同时获取合理的采购价格与优质的配套服务，采购流程符合相关要求，特制定本方案,本方案适用于公司所有符合邀请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和内部公开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</w:rPr>
        <w:t>招标议标的设备设施采购。</w:t>
      </w:r>
    </w:p>
    <w:p w14:paraId="56623852">
      <w:pPr>
        <w:pStyle w:val="3"/>
        <w:widowControl/>
        <w:shd w:val="clear" w:color="auto" w:fill="FFFFFF"/>
        <w:spacing w:beforeAutospacing="0" w:afterAutospacing="0" w:line="520" w:lineRule="exact"/>
        <w:rPr>
          <w:rFonts w:hint="default" w:ascii="仿宋" w:hAnsi="仿宋" w:eastAsia="仿宋" w:cs="仿宋"/>
          <w:b w:val="0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shd w:val="clear" w:color="auto" w:fill="FFFFFF"/>
        </w:rPr>
        <w:t>二、引用标准或法律法规</w:t>
      </w:r>
    </w:p>
    <w:p w14:paraId="63FC9301">
      <w:pPr>
        <w:widowControl/>
        <w:shd w:val="clear" w:color="auto" w:fill="FFFFFF"/>
        <w:spacing w:line="520" w:lineRule="exact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《中华人民共和国招标投标法》、《中华人民共和国招标投标法实施条例》、《国有企业采购操作规范》、《西安微电机研究所有限公司合同管理办法》、《西安微电机研究所有限公司招投标管理办法》。</w:t>
      </w:r>
    </w:p>
    <w:p w14:paraId="182B7E16">
      <w:pPr>
        <w:pStyle w:val="3"/>
        <w:widowControl/>
        <w:shd w:val="clear" w:color="auto" w:fill="FFFFFF"/>
        <w:spacing w:beforeAutospacing="0" w:afterAutospacing="0" w:line="520" w:lineRule="exact"/>
        <w:rPr>
          <w:rFonts w:hint="default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shd w:val="clear" w:color="auto" w:fill="FFFFFF"/>
        </w:rPr>
        <w:t>三、招标议标原则</w:t>
      </w:r>
    </w:p>
    <w:p w14:paraId="61ED49AE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3.1 公平公正：为所有参与投标的供应商提供平等的参与机会，依据客观标准进行评估。</w:t>
      </w:r>
    </w:p>
    <w:p w14:paraId="204439F7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3.2 需求导向：以满足公司实际业务需求为核心，重点考量设备的技术性能、功能适配性以及设备交付周期。</w:t>
      </w:r>
    </w:p>
    <w:p w14:paraId="62AA6919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3.3 综合权衡：兼顾价格、服务、供应商信誉等多方面因素，追求整体效益最大化。</w:t>
      </w:r>
    </w:p>
    <w:p w14:paraId="701B10B1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3.4 总价20万及以上但不到50万的设备采购采取邀请议标的方式进行，通过对标书中的报价、设备参数、投标人资质等进行评比讨论，最终评议结果出具议标会议纪要，总价50万及以上但不到200万的设备采购</w:t>
      </w: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  <w:lang w:val="en-US" w:eastAsia="zh-CN"/>
        </w:rPr>
        <w:t>原则上</w:t>
      </w: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采取</w:t>
      </w: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  <w:lang w:val="en-US" w:eastAsia="zh-CN"/>
        </w:rPr>
        <w:t>内部公开</w:t>
      </w: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招标的方式，通过</w:t>
      </w: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  <w:lang w:val="en-US" w:eastAsia="zh-CN"/>
        </w:rPr>
        <w:t>公司官网发布招标文件</w:t>
      </w: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，内部组织相关人员按照评标标准，不少于5人进行打分，根据打分结果确定中标顺序。</w:t>
      </w:r>
    </w:p>
    <w:p w14:paraId="2DA5A5B4">
      <w:pPr>
        <w:pStyle w:val="3"/>
        <w:widowControl/>
        <w:shd w:val="clear" w:color="auto" w:fill="FFFFFF"/>
        <w:spacing w:beforeAutospacing="0" w:afterAutospacing="0" w:line="520" w:lineRule="exact"/>
        <w:rPr>
          <w:rFonts w:hint="default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shd w:val="clear" w:color="auto" w:fill="FFFFFF"/>
        </w:rPr>
        <w:t>四、招标议标小组</w:t>
      </w:r>
    </w:p>
    <w:p w14:paraId="561092A9">
      <w:pPr>
        <w:widowControl/>
        <w:spacing w:line="520" w:lineRule="exact"/>
        <w:rPr>
          <w:rStyle w:val="9"/>
          <w:rFonts w:ascii="仿宋" w:hAnsi="仿宋" w:eastAsia="仿宋" w:cs="仿宋"/>
          <w:bCs/>
          <w:color w:val="222222"/>
          <w:sz w:val="30"/>
          <w:szCs w:val="30"/>
          <w:shd w:val="clear" w:color="auto" w:fill="FFFFFF"/>
        </w:rPr>
      </w:pPr>
      <w:r>
        <w:rPr>
          <w:rStyle w:val="9"/>
          <w:rFonts w:hint="eastAsia" w:ascii="仿宋" w:hAnsi="仿宋" w:eastAsia="仿宋" w:cs="仿宋"/>
          <w:bCs/>
          <w:color w:val="222222"/>
          <w:sz w:val="30"/>
          <w:szCs w:val="30"/>
          <w:shd w:val="clear" w:color="auto" w:fill="FFFFFF"/>
        </w:rPr>
        <w:t>4.1 成员构成：</w:t>
      </w:r>
    </w:p>
    <w:p w14:paraId="08A4125E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4.1.1  技术专员：具有丰富的设备相关技术经验，熟悉行业前沿技术，能够准确评估设备的技术参数和性能的实验室、工艺室及设备管理相关人员。</w:t>
      </w:r>
    </w:p>
    <w:p w14:paraId="31B53B34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4.1.2 采购专员：</w:t>
      </w: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  <w:lang w:eastAsia="zh-CN"/>
        </w:rPr>
        <w:t>供应链管理中心</w:t>
      </w: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相关人员负责采购流程管理、供应商沟通协调、合同条款拟定等工作，具备熟练的谈判技巧和采购专业知识。</w:t>
      </w:r>
    </w:p>
    <w:p w14:paraId="561D44FB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4.1.3 使用部门代表：直接参与设备的日常操作与维护，了解实际使用场景下的需求与痛点，能从实用性角度对设备提出意见。</w:t>
      </w:r>
    </w:p>
    <w:p w14:paraId="6C88CAB7">
      <w:pPr>
        <w:widowControl/>
        <w:spacing w:line="520" w:lineRule="exact"/>
        <w:ind w:left="360"/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4.1.4 财务代表：财务部相关人员负责对采购成本、付款方式、资金流等财务问题进行专业分析，确保议标结果符合公司财务预算与成本控制要求。</w:t>
      </w:r>
    </w:p>
    <w:p w14:paraId="65B721CA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4.1.5 决策层代表：主要由负责项目或需求部门主管领导构成，负责对招标程序的合规性、公平性进行监督、确保符合公司政策和法律法规。</w:t>
      </w:r>
    </w:p>
    <w:p w14:paraId="3D8E9DC2">
      <w:pPr>
        <w:widowControl/>
        <w:spacing w:line="520" w:lineRule="exact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Style w:val="9"/>
          <w:rFonts w:hint="eastAsia" w:ascii="仿宋" w:hAnsi="仿宋" w:eastAsia="仿宋" w:cs="仿宋"/>
          <w:bCs/>
          <w:color w:val="222222"/>
          <w:sz w:val="30"/>
          <w:szCs w:val="30"/>
          <w:shd w:val="clear" w:color="auto" w:fill="FFFFFF"/>
        </w:rPr>
        <w:t xml:space="preserve">4.2 </w:t>
      </w:r>
      <w:r>
        <w:rPr>
          <w:rFonts w:hint="eastAsia"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职责分工：</w:t>
      </w:r>
    </w:p>
    <w:p w14:paraId="2C36181A">
      <w:pPr>
        <w:widowControl/>
        <w:spacing w:line="520" w:lineRule="exact"/>
        <w:ind w:left="360"/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4</w:t>
      </w:r>
      <w:r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.2.1技术专员：</w:t>
      </w:r>
    </w:p>
    <w:p w14:paraId="388782F9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4.2.1.1负责前期供应商调研，收集潜在供应商信息，筛选符合基本资质要求的供应商参与投标。</w:t>
      </w:r>
    </w:p>
    <w:p w14:paraId="41C4F8EE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4.2.1.2制定详细的技术需求，明确设备的关键技术参数、技术规格、先进功能要求等。</w:t>
      </w:r>
    </w:p>
    <w:p w14:paraId="33E969F8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4.2.1.3在评标议标过程中，对供应商提供的技术方案进行深入剖析，了解技术细节，评估技术可行性、先进性与稳定性，确保设备技术达标。</w:t>
      </w:r>
    </w:p>
    <w:p w14:paraId="7159B73D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4.2.1.4提出技术改进建议，引导供应商优化方案，以更好地满足公司未来发展需求。</w:t>
      </w:r>
    </w:p>
    <w:p w14:paraId="0F194705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4.2.1.5组织议标会议，协调各方时间与场地安排，保障评标议标流程顺畅。</w:t>
      </w:r>
    </w:p>
    <w:p w14:paraId="1F795731">
      <w:pPr>
        <w:widowControl/>
        <w:spacing w:line="520" w:lineRule="exact"/>
        <w:ind w:left="360"/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4</w:t>
      </w:r>
      <w:r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.2.2采购专员：</w:t>
      </w:r>
    </w:p>
    <w:p w14:paraId="73A3334E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4.2.2.1在谈判过程中，掌控节奏，引导话题，围绕价格、交货期、售后服务等商务条款与供应商展开博弈，争取有利条件。</w:t>
      </w:r>
    </w:p>
    <w:p w14:paraId="6D6B5DBA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4.2.2.2负责合同起草、修订与签订工作，确保合同条款严谨、合法、有效。</w:t>
      </w:r>
    </w:p>
    <w:p w14:paraId="2A5239A4">
      <w:pPr>
        <w:widowControl/>
        <w:spacing w:line="520" w:lineRule="exact"/>
        <w:ind w:left="360"/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4</w:t>
      </w:r>
      <w:r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.2.3使用部门代表：</w:t>
      </w:r>
    </w:p>
    <w:p w14:paraId="43EA3032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4.2.3.1参与技术需求的制定，从实际操作便利性、维护难度、功能实用性等方面提出需求，确保设备贴合日常工作。</w:t>
      </w:r>
    </w:p>
    <w:p w14:paraId="74ABE1FA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4.2.3.2在评标议标过程中，对设备的易用性、功能完整性进行评价，提出改进意见。</w:t>
      </w:r>
    </w:p>
    <w:p w14:paraId="5271C081">
      <w:pPr>
        <w:widowControl/>
        <w:spacing w:line="520" w:lineRule="exact"/>
        <w:ind w:left="360"/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4</w:t>
      </w:r>
      <w:r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.2.4财务</w:t>
      </w:r>
      <w:r>
        <w:rPr>
          <w:rFonts w:hint="eastAsia"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代表：</w:t>
      </w:r>
    </w:p>
    <w:p w14:paraId="5C99EAF4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4.2.4.1根据打分办法，设计价格分值计算表格，计算价格分值并对综合评分进行统计计算。</w:t>
      </w:r>
    </w:p>
    <w:p w14:paraId="0245F7F2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4.2.4.2设计不同付款方式下的财务模型，分析对公司现金流的影响，为谈判中的付款条件协商提供依据。</w:t>
      </w:r>
    </w:p>
    <w:p w14:paraId="43E486EE">
      <w:pPr>
        <w:widowControl/>
        <w:spacing w:line="520" w:lineRule="exact"/>
        <w:ind w:left="360"/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4.2.4.3核算设备全生命周期成本，包括采购成本、运行维护成本、升级成本等，评估供应商提供的配套服务价值，辅助综合决策。</w:t>
      </w:r>
    </w:p>
    <w:p w14:paraId="5D842E22">
      <w:pPr>
        <w:widowControl/>
        <w:spacing w:line="520" w:lineRule="exact"/>
        <w:ind w:left="360"/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4.2.4.4决策层代表：</w:t>
      </w:r>
    </w:p>
    <w:p w14:paraId="7EB47587">
      <w:pPr>
        <w:widowControl/>
        <w:spacing w:line="520" w:lineRule="exact"/>
        <w:ind w:left="357" w:firstLine="600" w:firstLineChars="20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对招标程序的合规性、公平性进行监督、确保符合公司政策和法律法规，当评议小组出现分歧时，参与协调，确保流程按计划推进，避免人为干预，并从公司发展战略层面参与打分。</w:t>
      </w:r>
    </w:p>
    <w:p w14:paraId="594C84E3">
      <w:pPr>
        <w:pStyle w:val="3"/>
        <w:widowControl/>
        <w:shd w:val="clear" w:color="auto" w:fill="FFFFFF"/>
        <w:spacing w:beforeAutospacing="0" w:afterAutospacing="0" w:line="520" w:lineRule="exact"/>
        <w:rPr>
          <w:rFonts w:hint="default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shd w:val="clear" w:color="auto" w:fill="FFFFFF"/>
        </w:rPr>
        <w:t>五、招标流程</w:t>
      </w:r>
    </w:p>
    <w:p w14:paraId="36102F9F">
      <w:pPr>
        <w:widowControl/>
        <w:spacing w:line="520" w:lineRule="exact"/>
        <w:ind w:left="360"/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5</w:t>
      </w:r>
      <w:r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.1供应商筛选与邀请</w:t>
      </w:r>
    </w:p>
    <w:p w14:paraId="4FAAB156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5.1.1条件保障部汇总各部门技术专员，前期调研的情况，收集潜在供应商信息，包括行业展会、网络搜索、供应商数据库、同行推荐等，筛选符合基本资质要求的供应商参与投标。</w:t>
      </w:r>
    </w:p>
    <w:p w14:paraId="3B0C7616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5.1.2根据对供应商的基本资质要求，如营业执照、生产许可证、相关行业资质、过往业绩等，产品技术指等标筛选出不少于3家符合条件的供应商，形成推荐报告报公司招投标小组审签。</w:t>
      </w:r>
    </w:p>
    <w:p w14:paraId="15F68B53">
      <w:pPr>
        <w:widowControl/>
        <w:spacing w:line="520" w:lineRule="exact"/>
        <w:ind w:left="360"/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5.1.3向筛选出的供应商发送招标邀请函，邀请函内容包括项目背景、投标和开标时间地点、技术需求概要等，要求供应商在规定时间内提交详细的技术方案，包括设备的技术参数、功能特点、技术路线、设计图纸（如有）、技术先进性说明以及商务报价等资料。</w:t>
      </w:r>
    </w:p>
    <w:p w14:paraId="1DFF106A">
      <w:pPr>
        <w:widowControl/>
        <w:spacing w:line="520" w:lineRule="exact"/>
        <w:ind w:left="360"/>
        <w:rPr>
          <w:rFonts w:hint="default" w:ascii="仿宋" w:hAnsi="仿宋" w:eastAsia="仿宋" w:cs="仿宋"/>
          <w:color w:val="222222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5.1.</w:t>
      </w: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  <w:lang w:val="en-US" w:eastAsia="zh-CN"/>
        </w:rPr>
        <w:t>4 需要进行内部公开招标的，在完成采购技术要求确定后，确定招标文件并办理保密审核后挂公司官网招标，征集到标书后组织进行评标。</w:t>
      </w:r>
    </w:p>
    <w:p w14:paraId="5800A30E">
      <w:pPr>
        <w:widowControl/>
        <w:spacing w:line="520" w:lineRule="exact"/>
        <w:ind w:left="360"/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5</w:t>
      </w:r>
      <w:r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.2方案及报价评议</w:t>
      </w:r>
    </w:p>
    <w:p w14:paraId="7DBBBDFB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5.2.1评标议标小组对供应商提交的技术方案及报价进行评审，技术专员依据技术需求，对各供应商的技术参数达标情况、技术创新性、方案可行性等进行评价；使用部门代表对设备的操作便利性、功能实用性进行评价，采购专员及财务分析代表对方案报价的商务部分进行评价。</w:t>
      </w:r>
    </w:p>
    <w:p w14:paraId="64832C25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5.2.2根据综合评审结果，确定中标供应商，在通过公司内部申请流程后向中标供应商发出中标通知书，同时通知未中标供应商结果，感谢其参与。</w:t>
      </w:r>
    </w:p>
    <w:p w14:paraId="6D336B13">
      <w:pPr>
        <w:widowControl/>
        <w:spacing w:line="520" w:lineRule="exact"/>
        <w:ind w:left="360"/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5</w:t>
      </w:r>
      <w:r>
        <w:rPr>
          <w:rFonts w:ascii="仿宋" w:hAnsi="仿宋" w:eastAsia="仿宋" w:cs="仿宋"/>
          <w:b/>
          <w:bCs/>
          <w:color w:val="222222"/>
          <w:sz w:val="30"/>
          <w:szCs w:val="30"/>
          <w:shd w:val="clear" w:color="auto" w:fill="FFFFFF"/>
        </w:rPr>
        <w:t>.3合同签订</w:t>
      </w:r>
    </w:p>
    <w:p w14:paraId="70CAF4DD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5.3.1采购专员与中标供应商就合同条款进行进一步细化与完善，确保合同涵盖设备规格、技术指标、质量要求或承诺、价格、付款方式、交货期、售后服务、违约责任等所有关键内容。</w:t>
      </w:r>
    </w:p>
    <w:p w14:paraId="4D2C2FA0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5.3.2组织双方签订合同，合同签订后，采购专员负责跟进合同执行情况，协调解决出现的问题，保障设备按时、按质交付。</w:t>
      </w:r>
    </w:p>
    <w:p w14:paraId="5907D86A">
      <w:pPr>
        <w:pStyle w:val="3"/>
        <w:widowControl/>
        <w:shd w:val="clear" w:color="auto" w:fill="FFFFFF"/>
        <w:spacing w:beforeAutospacing="0" w:afterAutospacing="0" w:line="520" w:lineRule="exact"/>
        <w:rPr>
          <w:rFonts w:hint="default" w:ascii="仿宋" w:hAnsi="仿宋" w:eastAsia="仿宋" w:cs="仿宋"/>
          <w:sz w:val="30"/>
          <w:szCs w:val="30"/>
          <w:shd w:val="clear" w:color="auto" w:fill="FFFFFF"/>
        </w:rPr>
      </w:pPr>
      <w:r>
        <w:rPr>
          <w:rFonts w:ascii="仿宋" w:hAnsi="仿宋" w:eastAsia="仿宋" w:cs="仿宋"/>
          <w:sz w:val="30"/>
          <w:szCs w:val="30"/>
          <w:shd w:val="clear" w:color="auto" w:fill="FFFFFF"/>
        </w:rPr>
        <w:t>六、议标评审指标及权重</w:t>
      </w:r>
    </w:p>
    <w:p w14:paraId="7818400E">
      <w:pPr>
        <w:widowControl/>
        <w:spacing w:line="520" w:lineRule="exact"/>
        <w:ind w:left="360"/>
        <w:rPr>
          <w:rFonts w:ascii="仿宋" w:hAnsi="仿宋" w:eastAsia="仿宋" w:cs="仿宋"/>
          <w:b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222222"/>
          <w:sz w:val="30"/>
          <w:szCs w:val="30"/>
          <w:shd w:val="clear" w:color="auto" w:fill="FFFFFF"/>
        </w:rPr>
        <w:t>6.1技术方案（权重：</w:t>
      </w:r>
      <w:r>
        <w:rPr>
          <w:rFonts w:ascii="仿宋" w:hAnsi="仿宋" w:eastAsia="仿宋" w:cs="仿宋"/>
          <w:b/>
          <w:color w:val="222222"/>
          <w:sz w:val="30"/>
          <w:szCs w:val="30"/>
          <w:shd w:val="clear" w:color="auto" w:fill="FFFFFF"/>
        </w:rPr>
        <w:t>6</w:t>
      </w:r>
      <w:r>
        <w:rPr>
          <w:rFonts w:hint="eastAsia" w:ascii="仿宋" w:hAnsi="仿宋" w:eastAsia="仿宋" w:cs="仿宋"/>
          <w:b/>
          <w:color w:val="222222"/>
          <w:sz w:val="30"/>
          <w:szCs w:val="30"/>
          <w:shd w:val="clear" w:color="auto" w:fill="FFFFFF"/>
        </w:rPr>
        <w:t>0分）</w:t>
      </w:r>
    </w:p>
    <w:p w14:paraId="0DCDFA46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6.1.1（选型配套：8分）投标设备选型合理，性价比高，配套性好，适合使用要求，为广泛使用的主流产品。差别赋分，优：8-6分；良：5.9-3分；差:2.9-0分。</w:t>
      </w:r>
    </w:p>
    <w:p w14:paraId="01B03F7D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6.1.2（功能配置：7分）投标设备配置齐全、合理、完备，满足功能要求，操作便捷、维护保养方便，运行成本低。差别赋分，优：7-5分；良：4.9-3分；差:2.9-0分。</w:t>
      </w:r>
    </w:p>
    <w:p w14:paraId="01244C45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6.1.3（技术参数：25分）投标设备技术参数清楚、明确，满足或优于招标文件要求，无重大偏离，技术资料齐全。“★”项技术指标不满足一项即取消中标资格，“*”号项技术指标不满足一项扣3分，一般参数任一技术指标不满足，每项扣2分，扣完为止。</w:t>
      </w:r>
    </w:p>
    <w:p w14:paraId="5DCF7960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6.1.4（培训措施：5分）具有可行的技术培训措施，保证使用单位能熟练操作维护和正常使用。根据措施可行度和完善程度差别赋分，优：5-4分；良：3.9-2分；差:1.9-0分。</w:t>
      </w:r>
    </w:p>
    <w:p w14:paraId="14DED3CF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6.1.5（质保售后：5分）有可靠的售后服务承诺和措施，在本地售后服务机构运行正常。在本地有售后服务机构，提供相应证明文件得3分，根据售后服务承诺和措施的完善程度再得1-2分，未提供不得分。</w:t>
      </w:r>
    </w:p>
    <w:p w14:paraId="42847F1B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6.1.6（业绩支撑：10分）近5年厂家（代理商或生产厂家业绩均可）投标产品的业绩，提供1份得2分（以加盖投标人公章的合同复印件计分）。</w:t>
      </w:r>
    </w:p>
    <w:p w14:paraId="04E7FCD1">
      <w:pPr>
        <w:widowControl/>
        <w:spacing w:line="520" w:lineRule="exact"/>
        <w:ind w:left="360"/>
        <w:rPr>
          <w:rFonts w:ascii="仿宋" w:hAnsi="仿宋" w:eastAsia="仿宋" w:cs="仿宋"/>
          <w:b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222222"/>
          <w:sz w:val="30"/>
          <w:szCs w:val="30"/>
          <w:shd w:val="clear" w:color="auto" w:fill="FFFFFF"/>
        </w:rPr>
        <w:t>6.2商务响应（权重：5分）</w:t>
      </w:r>
    </w:p>
    <w:p w14:paraId="0785CD57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6.2.1根据投标文件对交货期、交货地点、付款条件及质量保证期等商务条款的响应程度，交货期、付款条件1项未响应扣3分，交货地点、质量保证期1项未响应扣2分。</w:t>
      </w:r>
    </w:p>
    <w:p w14:paraId="2302320A">
      <w:pPr>
        <w:widowControl/>
        <w:spacing w:line="520" w:lineRule="exact"/>
        <w:ind w:left="360"/>
        <w:rPr>
          <w:rFonts w:ascii="仿宋" w:hAnsi="仿宋" w:eastAsia="仿宋" w:cs="仿宋"/>
          <w:b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222222"/>
          <w:sz w:val="30"/>
          <w:szCs w:val="30"/>
          <w:shd w:val="clear" w:color="auto" w:fill="FFFFFF"/>
        </w:rPr>
        <w:t>6.3价格（权重：35分）</w:t>
      </w:r>
    </w:p>
    <w:p w14:paraId="1E5E6449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6.3.1.经审核合格的投标文件其投标报价为有效投标价。</w:t>
      </w:r>
    </w:p>
    <w:p w14:paraId="17C69F82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6.3.2.以所有有效投标价的平均值为评标基准价。</w:t>
      </w:r>
    </w:p>
    <w:p w14:paraId="71BE9D35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6.3.3.当投标报价=评标基准价时，得35分；当投标报价＞评标基准价时，每高于评标基准价1%扣0.2分；当投标报价＜评标基准价时,每低于评标基准价1%扣0.1分；</w:t>
      </w:r>
    </w:p>
    <w:p w14:paraId="2984DA73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6.3.4.投标报价不完整的，得0分；</w:t>
      </w:r>
    </w:p>
    <w:p w14:paraId="6357FEE2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6.3.5.投标报价不完整的，不进入评标标准价的计算，本项得0分。</w:t>
      </w:r>
    </w:p>
    <w:p w14:paraId="4CCF5942">
      <w:pPr>
        <w:widowControl/>
        <w:spacing w:line="520" w:lineRule="exact"/>
        <w:ind w:left="360"/>
        <w:rPr>
          <w:rFonts w:ascii="仿宋" w:hAnsi="仿宋" w:eastAsia="仿宋" w:cs="仿宋"/>
          <w:b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222222"/>
          <w:sz w:val="30"/>
          <w:szCs w:val="30"/>
          <w:shd w:val="clear" w:color="auto" w:fill="FFFFFF"/>
        </w:rPr>
        <w:t>6.4总分=技术方案得分+商务响应得分+价格得分。</w:t>
      </w:r>
    </w:p>
    <w:p w14:paraId="150D2CEA">
      <w:pPr>
        <w:widowControl/>
        <w:spacing w:line="520" w:lineRule="exact"/>
        <w:ind w:left="360"/>
        <w:rPr>
          <w:rFonts w:ascii="仿宋" w:hAnsi="仿宋" w:eastAsia="仿宋" w:cs="仿宋"/>
          <w:b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222222"/>
          <w:sz w:val="30"/>
          <w:szCs w:val="30"/>
          <w:shd w:val="clear" w:color="auto" w:fill="FFFFFF"/>
        </w:rPr>
        <w:t>6.5为确保公司采购到最适合公司需求的设备、设施，</w:t>
      </w:r>
      <w:r>
        <w:rPr>
          <w:rFonts w:ascii="仿宋" w:hAnsi="仿宋" w:eastAsia="仿宋" w:cs="仿宋"/>
          <w:b/>
          <w:color w:val="222222"/>
          <w:sz w:val="30"/>
          <w:szCs w:val="30"/>
          <w:shd w:val="clear" w:color="auto" w:fill="FFFFFF"/>
        </w:rPr>
        <w:t>根据不同的标的，评标权重</w:t>
      </w:r>
      <w:r>
        <w:rPr>
          <w:rFonts w:hint="eastAsia" w:ascii="仿宋" w:hAnsi="仿宋" w:eastAsia="仿宋" w:cs="仿宋"/>
          <w:b/>
          <w:color w:val="222222"/>
          <w:sz w:val="30"/>
          <w:szCs w:val="30"/>
          <w:shd w:val="clear" w:color="auto" w:fill="FFFFFF"/>
        </w:rPr>
        <w:t>可以</w:t>
      </w:r>
      <w:r>
        <w:rPr>
          <w:rFonts w:ascii="仿宋" w:hAnsi="仿宋" w:eastAsia="仿宋" w:cs="仿宋"/>
          <w:b/>
          <w:color w:val="222222"/>
          <w:sz w:val="30"/>
          <w:szCs w:val="30"/>
          <w:shd w:val="clear" w:color="auto" w:fill="FFFFFF"/>
        </w:rPr>
        <w:t>进行</w:t>
      </w:r>
      <w:r>
        <w:rPr>
          <w:rFonts w:hint="eastAsia" w:ascii="仿宋" w:hAnsi="仿宋" w:eastAsia="仿宋" w:cs="仿宋"/>
          <w:b/>
          <w:color w:val="222222"/>
          <w:sz w:val="30"/>
          <w:szCs w:val="30"/>
          <w:shd w:val="clear" w:color="auto" w:fill="FFFFFF"/>
        </w:rPr>
        <w:t>适当</w:t>
      </w:r>
      <w:r>
        <w:rPr>
          <w:rFonts w:ascii="仿宋" w:hAnsi="仿宋" w:eastAsia="仿宋" w:cs="仿宋"/>
          <w:b/>
          <w:color w:val="222222"/>
          <w:sz w:val="30"/>
          <w:szCs w:val="30"/>
          <w:shd w:val="clear" w:color="auto" w:fill="FFFFFF"/>
        </w:rPr>
        <w:t>调整</w:t>
      </w:r>
      <w:r>
        <w:rPr>
          <w:rFonts w:hint="eastAsia" w:ascii="仿宋" w:hAnsi="仿宋" w:eastAsia="仿宋" w:cs="仿宋"/>
          <w:b/>
          <w:color w:val="222222"/>
          <w:sz w:val="30"/>
          <w:szCs w:val="30"/>
          <w:shd w:val="clear" w:color="auto" w:fill="FFFFFF"/>
        </w:rPr>
        <w:t>。</w:t>
      </w:r>
    </w:p>
    <w:p w14:paraId="305AED3C">
      <w:pPr>
        <w:pStyle w:val="3"/>
        <w:widowControl/>
        <w:shd w:val="clear" w:color="auto" w:fill="FFFFFF"/>
        <w:spacing w:beforeAutospacing="0" w:afterAutospacing="0" w:line="520" w:lineRule="exact"/>
        <w:rPr>
          <w:rFonts w:hint="default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shd w:val="clear" w:color="auto" w:fill="FFFFFF"/>
        </w:rPr>
        <w:t>七、议标纪律</w:t>
      </w:r>
    </w:p>
    <w:p w14:paraId="4533011F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7.1评标议标小组成员必须严格遵守保密规定，不得向外界透露评标议标过程中的技术方案、谈判策略、供应商报价等敏感信息，直至评标议标结果正式公布。</w:t>
      </w:r>
    </w:p>
    <w:p w14:paraId="7CF777AE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7.2成员不得接受供应商的贿赂、回扣、宴请等不正当利益，保持廉洁自律，维护公司利益。</w:t>
      </w:r>
    </w:p>
    <w:p w14:paraId="7E5BB24F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7.3在评标议标过程中，应客观公正地评价供应商，不得偏袒任何一方，按照既定的评审指标和流程进行评审，确保评标议标结果真实可靠。</w:t>
      </w:r>
    </w:p>
    <w:p w14:paraId="3F30921A">
      <w:pPr>
        <w:pStyle w:val="3"/>
        <w:widowControl/>
        <w:shd w:val="clear" w:color="auto" w:fill="FFFFFF"/>
        <w:spacing w:beforeAutospacing="0" w:afterAutospacing="0" w:line="520" w:lineRule="exact"/>
        <w:rPr>
          <w:rFonts w:hint="default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shd w:val="clear" w:color="auto" w:fill="FFFFFF"/>
        </w:rPr>
        <w:t>八、监督机制</w:t>
      </w:r>
    </w:p>
    <w:p w14:paraId="2FC411D5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8.1设立内部监督小组，由公司纪检、审计部门人员组成，对议标全过程进行监督。监督小组有权查阅议标资料、列席议标会议，对发现的违规行为及时提出纠正意见，并追究相关人员责任。</w:t>
      </w:r>
    </w:p>
    <w:p w14:paraId="741ACE28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8.2要求供应商在评标议标过程中遵守诚信原则，若发现供应商存在提供虚假资料、串通投标等不正当行为，立即取消其投标资格，并列入公司供应商黑名单。</w:t>
      </w:r>
    </w:p>
    <w:p w14:paraId="29A97432">
      <w:pPr>
        <w:pStyle w:val="3"/>
        <w:widowControl/>
        <w:shd w:val="clear" w:color="auto" w:fill="FFFFFF"/>
        <w:spacing w:beforeAutospacing="0" w:afterAutospacing="0" w:line="520" w:lineRule="exact"/>
        <w:rPr>
          <w:rFonts w:hint="default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shd w:val="clear" w:color="auto" w:fill="FFFFFF"/>
        </w:rPr>
        <w:t>九、注意事项</w:t>
      </w:r>
    </w:p>
    <w:p w14:paraId="0847D0EF">
      <w:pPr>
        <w:widowControl/>
        <w:spacing w:line="520" w:lineRule="exact"/>
        <w:ind w:left="360"/>
        <w:rPr>
          <w:rFonts w:ascii="仿宋" w:hAnsi="仿宋" w:eastAsia="仿宋" w:cs="仿宋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9.1在评标议标前，充分做好市场调研，了解同类设备的市场行情、技术发展趋势、主流供应商情况等，为评标议标提供有力的参考依据。</w:t>
      </w:r>
    </w:p>
    <w:p w14:paraId="2230DB2F">
      <w:pPr>
        <w:widowControl/>
        <w:spacing w:line="520" w:lineRule="exact"/>
        <w:ind w:left="36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9.2对于技术复杂、价值较高的设备，可考虑邀请外部专家进行技术咨询或评估，确保议标决策的科学性。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33255798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 w14:paraId="6229F913">
            <w:pPr>
              <w:pStyle w:val="5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DFF503F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C20CAF"/>
    <w:rsid w:val="000409A4"/>
    <w:rsid w:val="0006509D"/>
    <w:rsid w:val="0007097A"/>
    <w:rsid w:val="00077A6C"/>
    <w:rsid w:val="000C1CFD"/>
    <w:rsid w:val="000D477E"/>
    <w:rsid w:val="0010472A"/>
    <w:rsid w:val="001072F8"/>
    <w:rsid w:val="00132C6A"/>
    <w:rsid w:val="00154CA9"/>
    <w:rsid w:val="00184917"/>
    <w:rsid w:val="001D3B29"/>
    <w:rsid w:val="001F170A"/>
    <w:rsid w:val="00206746"/>
    <w:rsid w:val="00215629"/>
    <w:rsid w:val="00223095"/>
    <w:rsid w:val="00254E4D"/>
    <w:rsid w:val="0032343F"/>
    <w:rsid w:val="00345CB4"/>
    <w:rsid w:val="00350F1C"/>
    <w:rsid w:val="00352730"/>
    <w:rsid w:val="003779E8"/>
    <w:rsid w:val="003F0B64"/>
    <w:rsid w:val="0042710B"/>
    <w:rsid w:val="00444D66"/>
    <w:rsid w:val="00554A02"/>
    <w:rsid w:val="005D2491"/>
    <w:rsid w:val="006716B4"/>
    <w:rsid w:val="00742008"/>
    <w:rsid w:val="007F1F70"/>
    <w:rsid w:val="008056B0"/>
    <w:rsid w:val="00857760"/>
    <w:rsid w:val="008A3757"/>
    <w:rsid w:val="008E1B4D"/>
    <w:rsid w:val="009513B7"/>
    <w:rsid w:val="00964F39"/>
    <w:rsid w:val="009902C3"/>
    <w:rsid w:val="009C65EA"/>
    <w:rsid w:val="009D4152"/>
    <w:rsid w:val="009F3C1E"/>
    <w:rsid w:val="00A2297B"/>
    <w:rsid w:val="00A2540B"/>
    <w:rsid w:val="00A82A58"/>
    <w:rsid w:val="00AA246B"/>
    <w:rsid w:val="00AB20B4"/>
    <w:rsid w:val="00AB7B49"/>
    <w:rsid w:val="00AF022A"/>
    <w:rsid w:val="00AF2732"/>
    <w:rsid w:val="00AF5877"/>
    <w:rsid w:val="00B11C2E"/>
    <w:rsid w:val="00B31256"/>
    <w:rsid w:val="00B33B49"/>
    <w:rsid w:val="00B51FF4"/>
    <w:rsid w:val="00B52EF3"/>
    <w:rsid w:val="00B734AA"/>
    <w:rsid w:val="00BB247D"/>
    <w:rsid w:val="00C20CAF"/>
    <w:rsid w:val="00C81604"/>
    <w:rsid w:val="00C867D4"/>
    <w:rsid w:val="00C966B9"/>
    <w:rsid w:val="00CC55D9"/>
    <w:rsid w:val="00D000A0"/>
    <w:rsid w:val="00D37381"/>
    <w:rsid w:val="00D42D94"/>
    <w:rsid w:val="00D773E3"/>
    <w:rsid w:val="00D95A3F"/>
    <w:rsid w:val="00D96288"/>
    <w:rsid w:val="00DA7098"/>
    <w:rsid w:val="00DF072C"/>
    <w:rsid w:val="00E30B3C"/>
    <w:rsid w:val="00E50961"/>
    <w:rsid w:val="00E54822"/>
    <w:rsid w:val="00F02EA9"/>
    <w:rsid w:val="00F14C72"/>
    <w:rsid w:val="00F46C0D"/>
    <w:rsid w:val="0473465E"/>
    <w:rsid w:val="0A8235E3"/>
    <w:rsid w:val="0D215336"/>
    <w:rsid w:val="14223741"/>
    <w:rsid w:val="197275FC"/>
    <w:rsid w:val="1E29229C"/>
    <w:rsid w:val="23DA66ED"/>
    <w:rsid w:val="25D23219"/>
    <w:rsid w:val="2E073C7C"/>
    <w:rsid w:val="2FAF2EAC"/>
    <w:rsid w:val="3B9F53E2"/>
    <w:rsid w:val="3DD05B1A"/>
    <w:rsid w:val="42755200"/>
    <w:rsid w:val="4944592C"/>
    <w:rsid w:val="4DA846DC"/>
    <w:rsid w:val="4DC632CD"/>
    <w:rsid w:val="504F1954"/>
    <w:rsid w:val="50FC089B"/>
    <w:rsid w:val="62165C60"/>
    <w:rsid w:val="634B5EC1"/>
    <w:rsid w:val="692C3FBB"/>
    <w:rsid w:val="6B195C05"/>
    <w:rsid w:val="6B4A4F37"/>
    <w:rsid w:val="6B7834E8"/>
    <w:rsid w:val="716D5171"/>
    <w:rsid w:val="79F14B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信控中心</Company>
  <Pages>7</Pages>
  <Words>3377</Words>
  <Characters>3669</Characters>
  <Lines>26</Lines>
  <Paragraphs>7</Paragraphs>
  <TotalTime>10</TotalTime>
  <ScaleCrop>false</ScaleCrop>
  <LinksUpToDate>false</LinksUpToDate>
  <CharactersWithSpaces>3682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2024-12-23T02:59:00Z</dcterms:created>
  <dc:creator>冷热、】</dc:creator>
  <cp:lastModifiedBy>大伟</cp:lastModifiedBy>
  <cp:lastPrinted>2025-07-28T00:49:00Z</cp:lastPrinted>
  <dcterms:modified xsi:type="dcterms:W3CDTF">2026-06-15T02:21:51Z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33AD081A4C50442EAA17FCE09509183F_12</vt:lpwstr>
  </property>
  <property fmtid="{D5CDD505-2E9C-101B-9397-08002B2CF9AE}" pid="4" name="KSOTemplateDocerSaveRecord">
    <vt:lpwstr>eyJoZGlkIjoiZTM1MjRkYjU2YWU1MDUzY2IyYmUxZDM3NDM1YWNlNTUiLCJ1c2VySWQiOiIyNzIxNDU1MjIifQ==</vt:lpwstr>
  </property>
</Properties>
</file>